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259AC" w14:textId="77777777" w:rsidR="0052737A" w:rsidRPr="00877401" w:rsidRDefault="0095652B">
      <w:pPr>
        <w:pStyle w:val="Titre1"/>
        <w:rPr>
          <w:lang w:val="fr-BE"/>
        </w:rPr>
      </w:pPr>
      <w:bookmarkStart w:id="0" w:name="problématique-de-santé"/>
      <w:r w:rsidRPr="00877401">
        <w:rPr>
          <w:lang w:val="fr-BE"/>
        </w:rPr>
        <w:t>Problématique de santé</w:t>
      </w:r>
    </w:p>
    <w:p w14:paraId="25C6F181" w14:textId="77777777" w:rsidR="00E81055" w:rsidRDefault="00E81055">
      <w:pPr>
        <w:pStyle w:val="Corpsdetexte"/>
        <w:rPr>
          <w:lang w:val="fr-BE"/>
        </w:rPr>
      </w:pPr>
      <w:bookmarkStart w:id="1" w:name="Xa17fa91ab24def73648d0a91580d3a76f55db1f"/>
    </w:p>
    <w:p w14:paraId="5C2BA96B" w14:textId="77777777" w:rsidR="007D21A9" w:rsidRPr="007D21A9" w:rsidRDefault="007D21A9" w:rsidP="007D21A9">
      <w:pPr>
        <w:pStyle w:val="Titre2"/>
        <w:rPr>
          <w:lang w:val="fr-BE"/>
        </w:rPr>
      </w:pPr>
      <w:r w:rsidRPr="007D21A9">
        <w:rPr>
          <w:lang w:val="fr-BE"/>
        </w:rPr>
        <w:t>Descriptif du problème de santé</w:t>
      </w:r>
      <w:r>
        <w:rPr>
          <w:lang w:val="fr-BE"/>
        </w:rPr>
        <w:t xml:space="preserve"> « Q</w:t>
      </w:r>
      <w:r w:rsidR="00B03FFF">
        <w:rPr>
          <w:lang w:val="fr-BE"/>
        </w:rPr>
        <w:t>u’</w:t>
      </w:r>
      <w:r>
        <w:rPr>
          <w:lang w:val="fr-BE"/>
        </w:rPr>
        <w:t>est-ce qu’une maladie rhumatismale inflammatoire ? »</w:t>
      </w:r>
    </w:p>
    <w:p w14:paraId="120F599F" w14:textId="77777777" w:rsidR="007D21A9" w:rsidRDefault="007D21A9" w:rsidP="007D21A9">
      <w:pPr>
        <w:pStyle w:val="NormalWeb"/>
      </w:pPr>
      <w:r>
        <w:t>Les maladies rhumatismales inflammatoires de l'enfant et de l'adolescent regroupent un ensemble de maladies rares, chroniques, d'origine inflammatoire, auto-immune ou auto-inflammatoire. Elles peuvent toucher les articulations, les muscles, les os, mais également la peau, les yeux ou d'autres organes. Les arthrites juvéniles idiopathiques en sont la forme la plus fréquente, aux côtés d'autres maladies plus rares telles que le lupus, les dermatomyosites, les sclérodermies, les vascularites ou certaines maladies auto-inflammatoires.</w:t>
      </w:r>
    </w:p>
    <w:p w14:paraId="71EDE3E1" w14:textId="77777777" w:rsidR="007D21A9" w:rsidRDefault="007D21A9" w:rsidP="007D21A9">
      <w:pPr>
        <w:pStyle w:val="NormalWeb"/>
      </w:pPr>
      <w:r>
        <w:t>Le service de rhumatologie pédiatrique du H.U.B. assure le diagnostic, le traitement et le suivi des enfants et des adolescents, de la naissance jusqu'à 18 ans, présentant une suspicion ou un diagnostic de maladie rhumatismale inflammatoire. Une consultation spécialisée peut être organisée à la demande du médecin traitant, du pédiatre ou d'un autre médecin spécialiste lorsqu'une telle maladie est suspectée.</w:t>
      </w:r>
    </w:p>
    <w:p w14:paraId="4E4C14A4" w14:textId="77777777" w:rsidR="007D21A9" w:rsidRPr="007D21A9" w:rsidRDefault="007D21A9" w:rsidP="007D21A9">
      <w:pPr>
        <w:pStyle w:val="Titre2"/>
        <w:rPr>
          <w:lang w:val="fr-BE"/>
        </w:rPr>
      </w:pPr>
      <w:r w:rsidRPr="007D21A9">
        <w:rPr>
          <w:lang w:val="fr-BE"/>
        </w:rPr>
        <w:t>Prise en charge</w:t>
      </w:r>
    </w:p>
    <w:p w14:paraId="57C0B29D" w14:textId="77777777" w:rsidR="007D21A9" w:rsidRDefault="007D21A9" w:rsidP="007D21A9">
      <w:pPr>
        <w:pStyle w:val="NormalWeb"/>
      </w:pPr>
      <w:r>
        <w:t>La prise en charge débute par une évaluation clinique approfondie, fondée sur un entretien médical détaillé (anamnèse) et un examen clinique complet. Les maladies rhumatismales inflammatoires de l'enfant présentent des manifestations très variées et peuvent parfois ressembler à d'autres affections plus fréquentes, notamment des pathologies mécaniques, orthopédiques, infectieuses, tumorales ou génétiques. L'expertise du rhumatologue pédiatre est essentielle pour orienter rapidement le diagnostic et proposer les examens complémentaires les plus appropriés.</w:t>
      </w:r>
    </w:p>
    <w:p w14:paraId="1691257A" w14:textId="77777777" w:rsidR="007D21A9" w:rsidRDefault="007D21A9" w:rsidP="007D21A9">
      <w:pPr>
        <w:pStyle w:val="NormalWeb"/>
      </w:pPr>
      <w:r>
        <w:t>Selon les besoins de chaque enfant, le bilan peut comprendre des examens biologiques, des examens d'imagerie (échographie, radiographie ou IRM), ainsi que des examens plus spécialisés. L'ensemble de ces informations permet de confirmer le diagnostic, d'évaluer l'activité de la maladie, de rechercher une éventuelle atteinte d'autres organes et de définir une stratégie thérapeutique personnalisée.</w:t>
      </w:r>
    </w:p>
    <w:p w14:paraId="59577723" w14:textId="77777777" w:rsidR="0098207A" w:rsidRDefault="0098207A" w:rsidP="0098207A">
      <w:pPr>
        <w:pStyle w:val="NormalWeb"/>
      </w:pPr>
      <w:r>
        <w:t>Le traitement est individualisé en fonction de la maladie, de son activité, de l'âge de l'enfant, de son mode de vie et de son retentissement sur sa qualité de vie. Il peut associer des traitements anti-inflammatoires, des infiltrations articulaires, des traitements de fond conventionnels, des biothérapies ou des thérapies ciblées plus récentes. Les traitements actuellement disponibles ont profondément transformé le pronostic de ces maladies. Prescrits selon les recommandations internationales et surveillés par des équipes spécialisées, ils offrent un excellent rapport bénéfice-risque et permettent aujourd'hui d'obtenir une rémission ou un excellent contrôle de la maladie chez la grande majorité des enfants.</w:t>
      </w:r>
    </w:p>
    <w:p w14:paraId="0B824DF0" w14:textId="77777777" w:rsidR="007D21A9" w:rsidRDefault="007D21A9" w:rsidP="007D21A9">
      <w:pPr>
        <w:pStyle w:val="NormalWeb"/>
      </w:pPr>
      <w:r>
        <w:lastRenderedPageBreak/>
        <w:t xml:space="preserve">Notre prise en charge repose sur une stratégie thérapeutique moderne, fondée sur les recommandations internationales et le principe du </w:t>
      </w:r>
      <w:proofErr w:type="spellStart"/>
      <w:r>
        <w:rPr>
          <w:rStyle w:val="lev"/>
        </w:rPr>
        <w:t>Treat</w:t>
      </w:r>
      <w:proofErr w:type="spellEnd"/>
      <w:r>
        <w:rPr>
          <w:rStyle w:val="lev"/>
        </w:rPr>
        <w:t>-to-Target</w:t>
      </w:r>
      <w:r>
        <w:t>, qui consiste à définir un objectif thérapeutique précis avec l'enfant et sa famille, puis à adapter le traitement de manière régulière afin d'obtenir le meilleur contrôle possible de la maladie tout en limitant les effets indésirables.</w:t>
      </w:r>
    </w:p>
    <w:p w14:paraId="20F4A9F6" w14:textId="77777777" w:rsidR="007D21A9" w:rsidRPr="007D21A9" w:rsidRDefault="007D21A9" w:rsidP="007D21A9">
      <w:pPr>
        <w:pStyle w:val="Titre2"/>
        <w:rPr>
          <w:lang w:val="fr-BE"/>
        </w:rPr>
      </w:pPr>
      <w:r w:rsidRPr="007D21A9">
        <w:rPr>
          <w:lang w:val="fr-BE"/>
        </w:rPr>
        <w:t>Une équipe multidisciplinaire</w:t>
      </w:r>
    </w:p>
    <w:p w14:paraId="6528F790" w14:textId="77777777" w:rsidR="007D21A9" w:rsidRDefault="007D21A9" w:rsidP="007D21A9">
      <w:pPr>
        <w:pStyle w:val="NormalWeb"/>
      </w:pPr>
      <w:r>
        <w:t>Les maladies rhumatismales inflammatoires de l'enfant peuvent toucher plusieurs organes et nécessitent souvent l'intervention de différents professionnels de santé. Leur prise en charge repose sur une collaboration étroite entre les différents spécialistes du H.U.B., afin d'assurer un diagnostic précis, un traitement adapté et un suivi coordonné.</w:t>
      </w:r>
    </w:p>
    <w:p w14:paraId="6FAE4E2A" w14:textId="77777777" w:rsidR="007D21A9" w:rsidRDefault="007D21A9" w:rsidP="007D21A9">
      <w:pPr>
        <w:pStyle w:val="NormalWeb"/>
      </w:pPr>
      <w:r>
        <w:t>Selon la maladie et les besoins de chaque enfant, le rhumatologue pédiatre travaille en étroite collaboration avec le laboratoire de biologie clinique, le service d'imagerie médicale, les ophtalmologues, dermatologues, néphrologues, orthopédistes pédiatriques, médecins de médecine physique et de réadaptation, kinésithérapeutes, psychologues ainsi qu'avec d'autres spécialistes pédiatriques lorsque la situation le nécessite.</w:t>
      </w:r>
    </w:p>
    <w:p w14:paraId="0CF98EF5" w14:textId="77777777" w:rsidR="007D21A9" w:rsidRDefault="007D21A9" w:rsidP="007D21A9">
      <w:pPr>
        <w:pStyle w:val="NormalWeb"/>
      </w:pPr>
      <w:r>
        <w:t>Cette approche multidisciplinaire permet de confirmer le diagnostic, de dépister précocement d'éventuelles atteintes d'autres organes et d'assurer une prise en charge globale, coordonnée et personnalisée, adaptée à la maladie, à l'âge et aux besoins de chaque enfant.</w:t>
      </w:r>
    </w:p>
    <w:p w14:paraId="5CEDFD7B" w14:textId="77777777" w:rsidR="007D21A9" w:rsidRDefault="007D21A9" w:rsidP="007D21A9">
      <w:pPr>
        <w:pStyle w:val="NormalWeb"/>
      </w:pPr>
      <w:r>
        <w:t xml:space="preserve">Une collaboration spécifique est également développée avec les infectiologues pédiatres, notamment dans le cadre de la consultation </w:t>
      </w:r>
      <w:proofErr w:type="spellStart"/>
      <w:r>
        <w:rPr>
          <w:rStyle w:val="lev"/>
        </w:rPr>
        <w:t>ImmunoStart</w:t>
      </w:r>
      <w:proofErr w:type="spellEnd"/>
      <w:r>
        <w:t>, afin d'optimiser la prévention du risque infectieux et le statut vaccinal des enfants nécessitant un traitement immunomodulateur ou immunosuppresseur.</w:t>
      </w:r>
    </w:p>
    <w:p w14:paraId="31224588" w14:textId="77777777" w:rsidR="007D21A9" w:rsidRPr="007D21A9" w:rsidRDefault="007D21A9" w:rsidP="007D21A9">
      <w:pPr>
        <w:pStyle w:val="Titre3"/>
        <w:rPr>
          <w:lang w:val="fr-BE"/>
        </w:rPr>
      </w:pPr>
      <w:r w:rsidRPr="007D21A9">
        <w:rPr>
          <w:lang w:val="fr-BE"/>
        </w:rPr>
        <w:t>Les spécialistes impliqués dans la prise en charge</w:t>
      </w:r>
    </w:p>
    <w:p w14:paraId="0AD230D3" w14:textId="77777777" w:rsidR="007D21A9" w:rsidRDefault="007D21A9" w:rsidP="007D21A9">
      <w:pPr>
        <w:pStyle w:val="NormalWeb"/>
        <w:numPr>
          <w:ilvl w:val="0"/>
          <w:numId w:val="3"/>
        </w:numPr>
      </w:pPr>
      <w:r>
        <w:t>Rhumatologie pédiatrique</w:t>
      </w:r>
    </w:p>
    <w:p w14:paraId="3CA7CDE4" w14:textId="77777777" w:rsidR="007D21A9" w:rsidRDefault="007D21A9" w:rsidP="007D21A9">
      <w:pPr>
        <w:pStyle w:val="NormalWeb"/>
        <w:numPr>
          <w:ilvl w:val="0"/>
          <w:numId w:val="3"/>
        </w:numPr>
      </w:pPr>
      <w:r>
        <w:t>Biologie clinique</w:t>
      </w:r>
    </w:p>
    <w:p w14:paraId="0C92895C" w14:textId="77777777" w:rsidR="007D21A9" w:rsidRDefault="007D21A9" w:rsidP="007D21A9">
      <w:pPr>
        <w:pStyle w:val="NormalWeb"/>
        <w:numPr>
          <w:ilvl w:val="0"/>
          <w:numId w:val="3"/>
        </w:numPr>
      </w:pPr>
      <w:r>
        <w:t>Imagerie médicale</w:t>
      </w:r>
    </w:p>
    <w:p w14:paraId="6CAC469E" w14:textId="77777777" w:rsidR="007D21A9" w:rsidRDefault="007D21A9" w:rsidP="007D21A9">
      <w:pPr>
        <w:pStyle w:val="NormalWeb"/>
        <w:numPr>
          <w:ilvl w:val="0"/>
          <w:numId w:val="3"/>
        </w:numPr>
      </w:pPr>
      <w:r>
        <w:t>Ophtalmologie</w:t>
      </w:r>
    </w:p>
    <w:p w14:paraId="281DFE15" w14:textId="77777777" w:rsidR="007D21A9" w:rsidRDefault="007D21A9" w:rsidP="007D21A9">
      <w:pPr>
        <w:pStyle w:val="NormalWeb"/>
        <w:numPr>
          <w:ilvl w:val="0"/>
          <w:numId w:val="3"/>
        </w:numPr>
      </w:pPr>
      <w:r>
        <w:t>Dermatologie</w:t>
      </w:r>
    </w:p>
    <w:p w14:paraId="21A927A6" w14:textId="77777777" w:rsidR="007D21A9" w:rsidRDefault="007D21A9" w:rsidP="007D21A9">
      <w:pPr>
        <w:pStyle w:val="NormalWeb"/>
        <w:numPr>
          <w:ilvl w:val="0"/>
          <w:numId w:val="3"/>
        </w:numPr>
      </w:pPr>
      <w:r>
        <w:t>Néphrologie pédiatrique</w:t>
      </w:r>
    </w:p>
    <w:p w14:paraId="7162D1BC" w14:textId="77777777" w:rsidR="007D21A9" w:rsidRDefault="007D21A9" w:rsidP="007D21A9">
      <w:pPr>
        <w:pStyle w:val="NormalWeb"/>
        <w:numPr>
          <w:ilvl w:val="0"/>
          <w:numId w:val="3"/>
        </w:numPr>
      </w:pPr>
      <w:r>
        <w:t>Orthopédie pédiatrique</w:t>
      </w:r>
    </w:p>
    <w:p w14:paraId="77150F9B" w14:textId="77777777" w:rsidR="007D21A9" w:rsidRDefault="007D21A9" w:rsidP="007D21A9">
      <w:pPr>
        <w:pStyle w:val="NormalWeb"/>
        <w:numPr>
          <w:ilvl w:val="0"/>
          <w:numId w:val="3"/>
        </w:numPr>
      </w:pPr>
      <w:r>
        <w:t>Médecine physique et de réadaptation</w:t>
      </w:r>
    </w:p>
    <w:p w14:paraId="7E04A650" w14:textId="77777777" w:rsidR="007D21A9" w:rsidRDefault="007D21A9" w:rsidP="007D21A9">
      <w:pPr>
        <w:pStyle w:val="NormalWeb"/>
        <w:numPr>
          <w:ilvl w:val="0"/>
          <w:numId w:val="3"/>
        </w:numPr>
      </w:pPr>
      <w:r>
        <w:t>Kinésithérapie</w:t>
      </w:r>
    </w:p>
    <w:p w14:paraId="136D58C1" w14:textId="77777777" w:rsidR="007D21A9" w:rsidRDefault="007D21A9" w:rsidP="007D21A9">
      <w:pPr>
        <w:pStyle w:val="NormalWeb"/>
        <w:numPr>
          <w:ilvl w:val="0"/>
          <w:numId w:val="3"/>
        </w:numPr>
      </w:pPr>
      <w:r>
        <w:t>Psychologie</w:t>
      </w:r>
    </w:p>
    <w:p w14:paraId="64F2AA2B" w14:textId="77777777" w:rsidR="007D21A9" w:rsidRDefault="007D21A9" w:rsidP="007D21A9">
      <w:pPr>
        <w:pStyle w:val="NormalWeb"/>
        <w:numPr>
          <w:ilvl w:val="0"/>
          <w:numId w:val="3"/>
        </w:numPr>
      </w:pPr>
      <w:r>
        <w:t>Infectiologie pédiatrique</w:t>
      </w:r>
    </w:p>
    <w:p w14:paraId="4C772D74" w14:textId="77777777" w:rsidR="007D21A9" w:rsidRDefault="007D21A9" w:rsidP="007D21A9">
      <w:pPr>
        <w:pStyle w:val="NormalWeb"/>
        <w:numPr>
          <w:ilvl w:val="0"/>
          <w:numId w:val="3"/>
        </w:numPr>
      </w:pPr>
      <w:r>
        <w:t>Autres spécialistes selon la maladie concernée</w:t>
      </w:r>
    </w:p>
    <w:p w14:paraId="1317A252" w14:textId="77777777" w:rsidR="007D21A9" w:rsidRPr="007D21A9" w:rsidRDefault="007D21A9" w:rsidP="007D21A9">
      <w:pPr>
        <w:pStyle w:val="Titre2"/>
        <w:rPr>
          <w:lang w:val="fr-BE"/>
        </w:rPr>
      </w:pPr>
      <w:r w:rsidRPr="007D21A9">
        <w:rPr>
          <w:lang w:val="fr-BE"/>
        </w:rPr>
        <w:lastRenderedPageBreak/>
        <w:t>Votre parcours de soins</w:t>
      </w:r>
    </w:p>
    <w:p w14:paraId="0CBADBD7" w14:textId="77777777" w:rsidR="007D21A9" w:rsidRDefault="007D21A9" w:rsidP="007D21A9">
      <w:pPr>
        <w:pStyle w:val="NormalWeb"/>
      </w:pPr>
      <w:r>
        <w:t>Chaque enfant bénéficie d'un parcours de soins personnalisé, adapté à sa maladie, à son âge et à ses besoins.</w:t>
      </w:r>
    </w:p>
    <w:p w14:paraId="7790757C" w14:textId="77777777" w:rsidR="007D21A9" w:rsidRPr="007D21A9" w:rsidRDefault="007D21A9" w:rsidP="007D21A9">
      <w:pPr>
        <w:pStyle w:val="Titre3"/>
        <w:rPr>
          <w:lang w:val="fr-BE"/>
        </w:rPr>
      </w:pPr>
      <w:r w:rsidRPr="007D21A9">
        <w:rPr>
          <w:lang w:val="fr-BE"/>
        </w:rPr>
        <w:t>1. Première consultation spécialisée</w:t>
      </w:r>
    </w:p>
    <w:p w14:paraId="7BF80097" w14:textId="77777777" w:rsidR="007D21A9" w:rsidRDefault="007D21A9" w:rsidP="007D21A9">
      <w:pPr>
        <w:pStyle w:val="NormalWeb"/>
      </w:pPr>
      <w:r>
        <w:t>Une évaluation clinique approfondie permet d'analyser les symptômes, d'examiner l'enfant et de déterminer les examens complémentaires éventuellement nécessaires.</w:t>
      </w:r>
    </w:p>
    <w:p w14:paraId="743BAC72" w14:textId="77777777" w:rsidR="007D21A9" w:rsidRPr="007D21A9" w:rsidRDefault="007D21A9" w:rsidP="007D21A9">
      <w:pPr>
        <w:pStyle w:val="Titre3"/>
        <w:rPr>
          <w:lang w:val="fr-BE"/>
        </w:rPr>
      </w:pPr>
      <w:r w:rsidRPr="007D21A9">
        <w:rPr>
          <w:lang w:val="fr-BE"/>
        </w:rPr>
        <w:t>2. Confirmation du diagnostic</w:t>
      </w:r>
    </w:p>
    <w:p w14:paraId="30537A8A" w14:textId="77777777" w:rsidR="007D21A9" w:rsidRDefault="007D21A9" w:rsidP="007D21A9">
      <w:pPr>
        <w:pStyle w:val="NormalWeb"/>
      </w:pPr>
      <w:r>
        <w:t>Les résultats de l'examen clinique, des analyses biologiques et des examens d'imagerie sont intégrés afin de confirmer le diagnostic, d'évaluer l'activité de la maladie et de rechercher une éventuelle atteinte d'autres organes.</w:t>
      </w:r>
    </w:p>
    <w:p w14:paraId="0D90D3FB" w14:textId="77777777" w:rsidR="007D21A9" w:rsidRPr="007D21A9" w:rsidRDefault="007D21A9" w:rsidP="007D21A9">
      <w:pPr>
        <w:pStyle w:val="Titre3"/>
        <w:rPr>
          <w:lang w:val="fr-BE"/>
        </w:rPr>
      </w:pPr>
      <w:r w:rsidRPr="007D21A9">
        <w:rPr>
          <w:lang w:val="fr-BE"/>
        </w:rPr>
        <w:t>3. Élaboration d'un plan de traitement personnalisé</w:t>
      </w:r>
    </w:p>
    <w:p w14:paraId="0821017B" w14:textId="77777777" w:rsidR="007D21A9" w:rsidRDefault="007D21A9" w:rsidP="007D21A9">
      <w:pPr>
        <w:pStyle w:val="NormalWeb"/>
      </w:pPr>
      <w:r>
        <w:t>Le diagnostic et les différentes options thérapeutiques sont discutés avec l'enfant et sa famille. Le traitement est choisi de manière individualisée en fonction de la maladie, de son activité et des objectifs thérapeutiques.</w:t>
      </w:r>
    </w:p>
    <w:p w14:paraId="75426F1F" w14:textId="77777777" w:rsidR="007D21A9" w:rsidRPr="007D21A9" w:rsidRDefault="007D21A9" w:rsidP="007D21A9">
      <w:pPr>
        <w:pStyle w:val="Titre3"/>
        <w:rPr>
          <w:lang w:val="fr-BE"/>
        </w:rPr>
      </w:pPr>
      <w:r w:rsidRPr="007D21A9">
        <w:rPr>
          <w:lang w:val="fr-BE"/>
        </w:rPr>
        <w:t>4. Suivi régulier</w:t>
      </w:r>
    </w:p>
    <w:p w14:paraId="10ADF53F" w14:textId="77777777" w:rsidR="007D21A9" w:rsidRDefault="007D21A9" w:rsidP="007D21A9">
      <w:pPr>
        <w:pStyle w:val="NormalWeb"/>
      </w:pPr>
      <w:r>
        <w:t xml:space="preserve">Des consultations régulières permettent d'évaluer l'évolution de la maladie, l'efficacité et la tolérance des traitements, ainsi que leur observance. La stratégie thérapeutique est adaptée si nécessaire, selon les recommandations internationales et le principe du </w:t>
      </w:r>
      <w:proofErr w:type="spellStart"/>
      <w:r>
        <w:rPr>
          <w:rStyle w:val="lev"/>
          <w:rFonts w:eastAsiaTheme="majorEastAsia"/>
        </w:rPr>
        <w:t>Treat</w:t>
      </w:r>
      <w:proofErr w:type="spellEnd"/>
      <w:r>
        <w:rPr>
          <w:rStyle w:val="lev"/>
          <w:rFonts w:eastAsiaTheme="majorEastAsia"/>
        </w:rPr>
        <w:t>-to-Target</w:t>
      </w:r>
      <w:r>
        <w:t>, afin d'obtenir le meilleur contrôle possible de la maladie.</w:t>
      </w:r>
    </w:p>
    <w:p w14:paraId="7CA62476" w14:textId="77777777" w:rsidR="007D21A9" w:rsidRPr="007D21A9" w:rsidRDefault="007D21A9" w:rsidP="007D21A9">
      <w:pPr>
        <w:pStyle w:val="Titre3"/>
        <w:rPr>
          <w:lang w:val="fr-BE"/>
        </w:rPr>
      </w:pPr>
      <w:r w:rsidRPr="007D21A9">
        <w:rPr>
          <w:lang w:val="fr-BE"/>
        </w:rPr>
        <w:t>5. Accompagnement dans la durée</w:t>
      </w:r>
    </w:p>
    <w:p w14:paraId="0CD1B403" w14:textId="77777777" w:rsidR="007D21A9" w:rsidRDefault="007D21A9" w:rsidP="007D21A9">
      <w:pPr>
        <w:pStyle w:val="NormalWeb"/>
      </w:pPr>
      <w:r>
        <w:t>Tout au long du suivi, une attention particulière est portée à la croissance, au développement, à la qualité de vie, à la scolarité, aux activités physiques, au bien-être psychologique ainsi qu'à l'autonomie progressive de l'enfant.</w:t>
      </w:r>
    </w:p>
    <w:p w14:paraId="63F3955A" w14:textId="77777777" w:rsidR="007D21A9" w:rsidRPr="007D21A9" w:rsidRDefault="007D21A9" w:rsidP="007D21A9">
      <w:pPr>
        <w:pStyle w:val="Titre3"/>
        <w:rPr>
          <w:lang w:val="fr-BE"/>
        </w:rPr>
      </w:pPr>
      <w:r w:rsidRPr="007D21A9">
        <w:rPr>
          <w:lang w:val="fr-BE"/>
        </w:rPr>
        <w:t>6. Préparation de la transition vers les soins adultes</w:t>
      </w:r>
    </w:p>
    <w:p w14:paraId="12B59BBA" w14:textId="77777777" w:rsidR="007D21A9" w:rsidRDefault="007D21A9" w:rsidP="007D21A9">
      <w:pPr>
        <w:pStyle w:val="NormalWeb"/>
      </w:pPr>
      <w:r>
        <w:t>Lorsque l'adolescent approche de l'âge adulte, une transition progressive est organisée en collaboration avec la rhumatologie adulte afin d'assurer la continuité des soins dans les meilleures conditions.</w:t>
      </w:r>
    </w:p>
    <w:p w14:paraId="5C23F5FA" w14:textId="77777777" w:rsidR="007D21A9" w:rsidRDefault="007D21A9">
      <w:pPr>
        <w:pStyle w:val="Corpsdetexte"/>
        <w:rPr>
          <w:lang w:val="fr-BE"/>
        </w:rPr>
      </w:pPr>
    </w:p>
    <w:p w14:paraId="6AA055A1" w14:textId="77777777" w:rsidR="00B03FFF" w:rsidRDefault="00B03FFF">
      <w:pPr>
        <w:pStyle w:val="Corpsdetexte"/>
        <w:rPr>
          <w:lang w:val="fr-BE"/>
        </w:rPr>
      </w:pPr>
    </w:p>
    <w:p w14:paraId="2401EB37" w14:textId="77777777" w:rsidR="00B03FFF" w:rsidRPr="00B03FFF" w:rsidRDefault="00B03FFF" w:rsidP="00B03FFF">
      <w:pPr>
        <w:pStyle w:val="Titre2"/>
        <w:rPr>
          <w:lang w:val="fr-BE"/>
        </w:rPr>
      </w:pPr>
      <w:r w:rsidRPr="00B03FFF">
        <w:rPr>
          <w:lang w:val="fr-BE"/>
        </w:rPr>
        <w:lastRenderedPageBreak/>
        <w:t>La transition vers les soins adultes</w:t>
      </w:r>
    </w:p>
    <w:p w14:paraId="78A95BC4" w14:textId="77777777" w:rsidR="00B03FFF" w:rsidRDefault="00B03FFF" w:rsidP="00B03FFF">
      <w:pPr>
        <w:pStyle w:val="NormalWeb"/>
      </w:pPr>
      <w:r>
        <w:t>Grâce aux progrès thérapeutiques, la grande majorité des enfants atteints de maladies rhumatismales inflammatoires chroniques atteignent aujourd'hui l'âge adulte avec une maladie bien contrôlée, voire en rémission. Cette évolution rend essentielle une transition structurée vers les soins adultes.</w:t>
      </w:r>
    </w:p>
    <w:p w14:paraId="143276A7" w14:textId="77777777" w:rsidR="00B03FFF" w:rsidRDefault="00B03FFF" w:rsidP="00B03FFF">
      <w:pPr>
        <w:pStyle w:val="NormalWeb"/>
      </w:pPr>
      <w:r>
        <w:t>La transition est un processus progressif, préparé plusieurs années avant le transfert vers la rhumatologie adulte. Au fil des consultations, le jeune est encouragé à mieux comprendre sa maladie, à connaître ses traitements, à reconnaître les signes d'alerte, à participer aux décisions thérapeutiques et à acquérir progressivement l'autonomie nécessaire à la gestion de sa santé. Les parents restent pleinement associés à cette évolution, tout en accompagnant progressivement leur enfant vers une plus grande autonomie.</w:t>
      </w:r>
    </w:p>
    <w:p w14:paraId="6EFE8F4D" w14:textId="77777777" w:rsidR="00B03FFF" w:rsidRDefault="00B03FFF" w:rsidP="00B03FFF">
      <w:pPr>
        <w:pStyle w:val="NormalWeb"/>
      </w:pPr>
      <w:r>
        <w:t>Cette période permet également d'aborder des sujets importants tels que les études, les projets professionnels, la pratique sportive, les voyages, les vaccinations, la contraception, la vie affective, le désir de grossesse ou encore les conséquences éventuelles des traitements à long terme.</w:t>
      </w:r>
    </w:p>
    <w:p w14:paraId="36CC6460" w14:textId="77777777" w:rsidR="00B03FFF" w:rsidRDefault="00B03FFF" w:rsidP="00B03FFF">
      <w:pPr>
        <w:pStyle w:val="NormalWeb"/>
      </w:pPr>
      <w:r>
        <w:t>Depuis plus de vingt ans, le service de rhumatologie pédiatrique du H.U.B. collabore étroitement avec une rhumatologue spécialisée dans la prise en charge des maladies rhumatismales débutant dans l'enfance. Cette collaboration historique permet d'assurer une continuité des soins particulièrement fluide et personnalisée, offrant aux jeunes adultes un suivi par une spécialiste familière des spécificités de ces maladies et des enjeux propres à cette période de la vie.</w:t>
      </w:r>
    </w:p>
    <w:p w14:paraId="5A3383D3" w14:textId="77777777" w:rsidR="00B03FFF" w:rsidRDefault="00B03FFF" w:rsidP="00B03FFF">
      <w:pPr>
        <w:pStyle w:val="NormalWeb"/>
      </w:pPr>
      <w:r>
        <w:t>L'objectif est d'assurer une continuité des soins sans rupture de suivi, afin que chaque jeune adulte puisse poursuivre son parcours avec confiance et autonomie.</w:t>
      </w:r>
    </w:p>
    <w:p w14:paraId="05552466" w14:textId="77777777" w:rsidR="00B03FFF" w:rsidRDefault="00B03FFF">
      <w:pPr>
        <w:pStyle w:val="Corpsdetexte"/>
        <w:rPr>
          <w:lang w:val="fr-BE"/>
        </w:rPr>
      </w:pPr>
      <w:r>
        <w:rPr>
          <w:lang w:val="fr-BE"/>
        </w:rPr>
        <w:t xml:space="preserve">Eventuel lien vers </w:t>
      </w:r>
    </w:p>
    <w:p w14:paraId="2E62225D" w14:textId="77777777" w:rsidR="00B03FFF" w:rsidRPr="00B03FFF" w:rsidRDefault="00B03FFF" w:rsidP="00B03FFF">
      <w:pPr>
        <w:spacing w:beforeAutospacing="1" w:after="100" w:afterAutospacing="1"/>
        <w:rPr>
          <w:rFonts w:ascii="Times New Roman" w:eastAsia="Times New Roman" w:hAnsi="Times New Roman" w:cs="Times New Roman"/>
          <w:lang w:val="fr-BE" w:eastAsia="fr-BE"/>
        </w:rPr>
      </w:pPr>
      <w:r w:rsidRPr="00B03FFF">
        <w:rPr>
          <w:rFonts w:ascii="Times New Roman" w:eastAsia="Times New Roman" w:hAnsi="Times New Roman" w:cs="Times New Roman"/>
          <w:i/>
          <w:iCs/>
          <w:lang w:val="fr-BE" w:eastAsia="fr-BE"/>
        </w:rPr>
        <w:t>Guide pratique de la transition vers les soins adultes</w:t>
      </w:r>
      <w:r w:rsidRPr="00B03FFF">
        <w:rPr>
          <w:rFonts w:ascii="Times New Roman" w:eastAsia="Times New Roman" w:hAnsi="Times New Roman" w:cs="Times New Roman"/>
          <w:lang w:val="fr-BE" w:eastAsia="fr-BE"/>
        </w:rPr>
        <w:t xml:space="preserve"> (FAI²R)</w:t>
      </w:r>
    </w:p>
    <w:p w14:paraId="05CD244D" w14:textId="77777777" w:rsidR="00B03FFF" w:rsidRPr="00B03FFF" w:rsidRDefault="00B03FFF" w:rsidP="00B03FFF">
      <w:pPr>
        <w:spacing w:before="100" w:beforeAutospacing="1" w:after="100" w:afterAutospacing="1"/>
        <w:rPr>
          <w:rFonts w:ascii="Times New Roman" w:eastAsia="Times New Roman" w:hAnsi="Times New Roman" w:cs="Times New Roman"/>
          <w:lang w:val="fr-BE" w:eastAsia="fr-BE"/>
        </w:rPr>
      </w:pPr>
      <w:r w:rsidRPr="00B03FFF">
        <w:rPr>
          <w:rFonts w:ascii="Times New Roman" w:eastAsia="Times New Roman" w:hAnsi="Times New Roman" w:cs="Times New Roman"/>
          <w:lang w:val="fr-BE" w:eastAsia="fr-BE"/>
        </w:rPr>
        <w:t>ou</w:t>
      </w:r>
    </w:p>
    <w:p w14:paraId="29F661A2" w14:textId="77777777" w:rsidR="00B03FFF" w:rsidRPr="00B03FFF" w:rsidRDefault="00B03FFF" w:rsidP="00B03FFF">
      <w:pPr>
        <w:spacing w:beforeAutospacing="1" w:after="100" w:afterAutospacing="1"/>
        <w:rPr>
          <w:rFonts w:ascii="Times New Roman" w:eastAsia="Times New Roman" w:hAnsi="Times New Roman" w:cs="Times New Roman"/>
          <w:lang w:val="fr-BE" w:eastAsia="fr-BE"/>
        </w:rPr>
      </w:pPr>
      <w:r w:rsidRPr="00B03FFF">
        <w:rPr>
          <w:rFonts w:ascii="Times New Roman" w:eastAsia="Times New Roman" w:hAnsi="Times New Roman" w:cs="Times New Roman"/>
          <w:i/>
          <w:iCs/>
          <w:lang w:val="fr-BE" w:eastAsia="fr-BE"/>
        </w:rPr>
        <w:t>Nos outils pour préparer la transition</w:t>
      </w:r>
    </w:p>
    <w:p w14:paraId="6C0C5E83" w14:textId="77777777" w:rsidR="00B03FFF" w:rsidRDefault="00B03FFF">
      <w:pPr>
        <w:pStyle w:val="Corpsdetexte"/>
        <w:rPr>
          <w:lang w:val="fr-BE"/>
        </w:rPr>
      </w:pPr>
    </w:p>
    <w:p w14:paraId="3192BF8D" w14:textId="77777777" w:rsidR="00B03FFF" w:rsidRPr="00B03FFF" w:rsidRDefault="00B03FFF" w:rsidP="00B03FFF">
      <w:pPr>
        <w:pStyle w:val="Titre2"/>
        <w:rPr>
          <w:lang w:val="fr-BE"/>
        </w:rPr>
      </w:pPr>
      <w:r w:rsidRPr="00B03FFF">
        <w:rPr>
          <w:lang w:val="fr-BE"/>
        </w:rPr>
        <w:t>Recherche, innovation et expertise</w:t>
      </w:r>
    </w:p>
    <w:p w14:paraId="65CB56B7" w14:textId="77777777" w:rsidR="00B03FFF" w:rsidRDefault="00B03FFF" w:rsidP="00B03FFF">
      <w:pPr>
        <w:pStyle w:val="NormalWeb"/>
      </w:pPr>
      <w:r>
        <w:t>La rhumatologie pédiatrique a connu une évolution remarquable au cours des vingt dernières années. Les progrès de la recherche ont permis une meilleure compréhension des mécanismes responsables des maladies rhumatismales inflammatoires, l'élaboration de critères diagnostiques plus performants ainsi que le développement de traitements toujours plus ciblés et plus efficaces.</w:t>
      </w:r>
    </w:p>
    <w:p w14:paraId="44CAAA29" w14:textId="77777777" w:rsidR="00B03FFF" w:rsidRDefault="00B03FFF" w:rsidP="00B03FFF">
      <w:pPr>
        <w:pStyle w:val="NormalWeb"/>
      </w:pPr>
      <w:r>
        <w:lastRenderedPageBreak/>
        <w:t>En tant que service universitaire, le service de rhumatologie pédiatrique du H.U.B. participe activement à la recherche clinique nationale et internationale. L'équipe a contribué à de nombreux essais cliniques multicentriques ayant permis d'évaluer l'efficacité et la sécurité des biothérapies et des traitements innovants aujourd'hui utilisés dans la prise en charge des enfants atteints de maladies rhumatismales inflammatoires.</w:t>
      </w:r>
    </w:p>
    <w:p w14:paraId="2DEEAE27" w14:textId="77777777" w:rsidR="0098207A" w:rsidRDefault="00B03FFF" w:rsidP="00B03FFF">
      <w:pPr>
        <w:pStyle w:val="NormalWeb"/>
      </w:pPr>
      <w:r>
        <w:t xml:space="preserve">Le service est membre fondateur du </w:t>
      </w:r>
      <w:proofErr w:type="spellStart"/>
      <w:r>
        <w:rPr>
          <w:rStyle w:val="lev"/>
        </w:rPr>
        <w:t>Belgian</w:t>
      </w:r>
      <w:proofErr w:type="spellEnd"/>
      <w:r>
        <w:rPr>
          <w:rStyle w:val="lev"/>
        </w:rPr>
        <w:t xml:space="preserve"> </w:t>
      </w:r>
      <w:proofErr w:type="spellStart"/>
      <w:r>
        <w:rPr>
          <w:rStyle w:val="lev"/>
        </w:rPr>
        <w:t>working</w:t>
      </w:r>
      <w:proofErr w:type="spellEnd"/>
      <w:r>
        <w:rPr>
          <w:rStyle w:val="lev"/>
        </w:rPr>
        <w:t xml:space="preserve"> group of </w:t>
      </w:r>
      <w:proofErr w:type="spellStart"/>
      <w:r>
        <w:rPr>
          <w:rStyle w:val="lev"/>
        </w:rPr>
        <w:t>Paediatric</w:t>
      </w:r>
      <w:proofErr w:type="spellEnd"/>
      <w:r>
        <w:rPr>
          <w:rStyle w:val="lev"/>
        </w:rPr>
        <w:t xml:space="preserve"> </w:t>
      </w:r>
      <w:proofErr w:type="spellStart"/>
      <w:r>
        <w:rPr>
          <w:rStyle w:val="lev"/>
        </w:rPr>
        <w:t>Rheumatology</w:t>
      </w:r>
      <w:proofErr w:type="spellEnd"/>
      <w:r>
        <w:rPr>
          <w:rStyle w:val="lev"/>
        </w:rPr>
        <w:t xml:space="preserve"> (BPR)</w:t>
      </w:r>
      <w:r>
        <w:t xml:space="preserve">, qui rassemble les spécialistes de rhumatologie pédiatrique des centres universitaires belges afin de promouvoir les échanges d'expertise, l'harmonisation des pratiques et le développement de projets de recherche collaboratifs. Il participe également aux activités de la </w:t>
      </w:r>
      <w:proofErr w:type="spellStart"/>
      <w:r>
        <w:rPr>
          <w:rStyle w:val="lev"/>
        </w:rPr>
        <w:t>Paediatric</w:t>
      </w:r>
      <w:proofErr w:type="spellEnd"/>
      <w:r>
        <w:rPr>
          <w:rStyle w:val="lev"/>
        </w:rPr>
        <w:t xml:space="preserve"> </w:t>
      </w:r>
      <w:proofErr w:type="spellStart"/>
      <w:r>
        <w:rPr>
          <w:rStyle w:val="lev"/>
        </w:rPr>
        <w:t>Rheumatology</w:t>
      </w:r>
      <w:proofErr w:type="spellEnd"/>
      <w:r>
        <w:rPr>
          <w:rStyle w:val="lev"/>
        </w:rPr>
        <w:t xml:space="preserve"> </w:t>
      </w:r>
      <w:proofErr w:type="spellStart"/>
      <w:r>
        <w:rPr>
          <w:rStyle w:val="lev"/>
        </w:rPr>
        <w:t>European</w:t>
      </w:r>
      <w:proofErr w:type="spellEnd"/>
      <w:r>
        <w:rPr>
          <w:rStyle w:val="lev"/>
        </w:rPr>
        <w:t xml:space="preserve"> Society (PReS)</w:t>
      </w:r>
      <w:r>
        <w:t xml:space="preserve"> et de </w:t>
      </w:r>
      <w:r>
        <w:rPr>
          <w:rStyle w:val="lev"/>
        </w:rPr>
        <w:t>PRINTO (</w:t>
      </w:r>
      <w:proofErr w:type="spellStart"/>
      <w:r>
        <w:rPr>
          <w:rStyle w:val="lev"/>
        </w:rPr>
        <w:t>Pediatric</w:t>
      </w:r>
      <w:proofErr w:type="spellEnd"/>
      <w:r>
        <w:rPr>
          <w:rStyle w:val="lev"/>
        </w:rPr>
        <w:t xml:space="preserve"> </w:t>
      </w:r>
      <w:proofErr w:type="spellStart"/>
      <w:r>
        <w:rPr>
          <w:rStyle w:val="lev"/>
        </w:rPr>
        <w:t>Rheumatology</w:t>
      </w:r>
      <w:proofErr w:type="spellEnd"/>
      <w:r>
        <w:rPr>
          <w:rStyle w:val="lev"/>
        </w:rPr>
        <w:t xml:space="preserve"> International Trials Organisation)</w:t>
      </w:r>
      <w:r w:rsidR="0098207A" w:rsidRPr="0098207A">
        <w:t xml:space="preserve"> </w:t>
      </w:r>
      <w:r w:rsidR="0098207A">
        <w:t xml:space="preserve">ainsi que de la </w:t>
      </w:r>
      <w:r w:rsidR="0098207A">
        <w:rPr>
          <w:rStyle w:val="lev"/>
        </w:rPr>
        <w:t>Société francophone pour la rhumatologie et les maladies inflammatoires en pédiatrie (SOFREMIP)</w:t>
      </w:r>
      <w:r>
        <w:t xml:space="preserve">, </w:t>
      </w:r>
      <w:r w:rsidR="0098207A">
        <w:t>contribuant ainsi à l'élaboration des recommandations, au développement de la recherche clinique et à l'amélioration continue de la prise en charge des enfants atteints de maladies rhumatismales inflammatoires.</w:t>
      </w:r>
    </w:p>
    <w:p w14:paraId="389BDE0B" w14:textId="77777777" w:rsidR="00B03FFF" w:rsidRDefault="00B03FFF" w:rsidP="00B03FFF">
      <w:pPr>
        <w:pStyle w:val="NormalWeb"/>
      </w:pPr>
      <w:r>
        <w:t>Cette implication dans la recherche permet à nos patients de bénéficier d'une prise en charge fondée sur les données scientifiques les plus récentes et sur les standards internationaux les plus exigeants.</w:t>
      </w:r>
    </w:p>
    <w:p w14:paraId="4EA21799" w14:textId="77777777" w:rsidR="00B03FFF" w:rsidRPr="00B03FFF" w:rsidRDefault="00B03FFF" w:rsidP="00B03FFF">
      <w:pPr>
        <w:pStyle w:val="Titre3"/>
        <w:rPr>
          <w:lang w:val="fr-BE"/>
        </w:rPr>
      </w:pPr>
      <w:r w:rsidRPr="00B03FFF">
        <w:rPr>
          <w:lang w:val="fr-BE"/>
        </w:rPr>
        <w:t>Nos engagements</w:t>
      </w:r>
    </w:p>
    <w:p w14:paraId="3B702CFD" w14:textId="77777777" w:rsidR="00B03FFF" w:rsidRDefault="00B03FFF" w:rsidP="00B03FFF">
      <w:pPr>
        <w:pStyle w:val="NormalWeb"/>
      </w:pPr>
      <w:r>
        <w:t>Au sein du service de rhumatologie pédiatrique du H.U.B., nous nous engageons à offrir à chaque enfant et à sa famille :</w:t>
      </w:r>
    </w:p>
    <w:p w14:paraId="597AA8AC" w14:textId="77777777" w:rsidR="00B03FFF" w:rsidRDefault="00B03FFF" w:rsidP="00B03FFF">
      <w:pPr>
        <w:pStyle w:val="NormalWeb"/>
        <w:numPr>
          <w:ilvl w:val="0"/>
          <w:numId w:val="4"/>
        </w:numPr>
      </w:pPr>
      <w:r>
        <w:t xml:space="preserve">une </w:t>
      </w:r>
      <w:r>
        <w:rPr>
          <w:rStyle w:val="lev"/>
        </w:rPr>
        <w:t>prise en charge spécialisée</w:t>
      </w:r>
      <w:r>
        <w:t>, fondée sur les données scientifiques les plus récentes et les recommandations internationales ;</w:t>
      </w:r>
    </w:p>
    <w:p w14:paraId="51A5A241" w14:textId="77777777" w:rsidR="00B03FFF" w:rsidRDefault="00B03FFF" w:rsidP="00B03FFF">
      <w:pPr>
        <w:pStyle w:val="NormalWeb"/>
        <w:numPr>
          <w:ilvl w:val="0"/>
          <w:numId w:val="4"/>
        </w:numPr>
      </w:pPr>
      <w:r>
        <w:t xml:space="preserve">une </w:t>
      </w:r>
      <w:r>
        <w:rPr>
          <w:rStyle w:val="lev"/>
        </w:rPr>
        <w:t>stratégie thérapeutique personnalisée</w:t>
      </w:r>
      <w:r>
        <w:t xml:space="preserve">, visant le meilleur contrôle possible de la maladie grâce au principe du </w:t>
      </w:r>
      <w:proofErr w:type="spellStart"/>
      <w:r>
        <w:rPr>
          <w:rStyle w:val="Accentuation"/>
          <w:rFonts w:eastAsiaTheme="majorEastAsia"/>
        </w:rPr>
        <w:t>Treat</w:t>
      </w:r>
      <w:proofErr w:type="spellEnd"/>
      <w:r>
        <w:rPr>
          <w:rStyle w:val="Accentuation"/>
          <w:rFonts w:eastAsiaTheme="majorEastAsia"/>
        </w:rPr>
        <w:t>-to-Target</w:t>
      </w:r>
      <w:r>
        <w:t xml:space="preserve"> ;</w:t>
      </w:r>
    </w:p>
    <w:p w14:paraId="5A4E744C" w14:textId="77777777" w:rsidR="00B03FFF" w:rsidRDefault="00B03FFF" w:rsidP="00B03FFF">
      <w:pPr>
        <w:pStyle w:val="NormalWeb"/>
        <w:numPr>
          <w:ilvl w:val="0"/>
          <w:numId w:val="4"/>
        </w:numPr>
      </w:pPr>
      <w:r>
        <w:t xml:space="preserve">une </w:t>
      </w:r>
      <w:r>
        <w:rPr>
          <w:rStyle w:val="lev"/>
        </w:rPr>
        <w:t>approche multidisciplinaire coordonnée</w:t>
      </w:r>
      <w:r>
        <w:t>, réunissant les différentes expertises nécessaires à une prise en charge globale ;</w:t>
      </w:r>
    </w:p>
    <w:p w14:paraId="0ED07BE7" w14:textId="77777777" w:rsidR="00B03FFF" w:rsidRDefault="00B03FFF" w:rsidP="00B03FFF">
      <w:pPr>
        <w:pStyle w:val="NormalWeb"/>
        <w:numPr>
          <w:ilvl w:val="0"/>
          <w:numId w:val="4"/>
        </w:numPr>
      </w:pPr>
      <w:r>
        <w:t xml:space="preserve">un </w:t>
      </w:r>
      <w:r>
        <w:rPr>
          <w:rStyle w:val="lev"/>
        </w:rPr>
        <w:t>partenariat avec l'enfant et sa famille</w:t>
      </w:r>
      <w:r>
        <w:t>, favorisant l'information, l'éducation thérapeutique et l'autonomie progressive du jeune patient ;</w:t>
      </w:r>
    </w:p>
    <w:p w14:paraId="6F2DFCCB" w14:textId="77777777" w:rsidR="00B03FFF" w:rsidRDefault="00B03FFF" w:rsidP="00B03FFF">
      <w:pPr>
        <w:pStyle w:val="NormalWeb"/>
        <w:numPr>
          <w:ilvl w:val="0"/>
          <w:numId w:val="4"/>
        </w:numPr>
      </w:pPr>
      <w:r>
        <w:t xml:space="preserve">une </w:t>
      </w:r>
      <w:r>
        <w:rPr>
          <w:rStyle w:val="lev"/>
        </w:rPr>
        <w:t>continuité des soins</w:t>
      </w:r>
      <w:r>
        <w:t>, de l'enfance jusqu'à l'âge adulte, grâce à une transition structurée et personnalisée ;</w:t>
      </w:r>
    </w:p>
    <w:p w14:paraId="5247FA92" w14:textId="77777777" w:rsidR="00B03FFF" w:rsidRDefault="00B03FFF" w:rsidP="00B03FFF">
      <w:pPr>
        <w:pStyle w:val="NormalWeb"/>
        <w:numPr>
          <w:ilvl w:val="0"/>
          <w:numId w:val="4"/>
        </w:numPr>
      </w:pPr>
      <w:r>
        <w:t xml:space="preserve">une </w:t>
      </w:r>
      <w:r>
        <w:rPr>
          <w:rStyle w:val="lev"/>
        </w:rPr>
        <w:t>implication active dans la recherche clinique et l'innovation thérapeutique</w:t>
      </w:r>
      <w:r>
        <w:t>, afin d'offrir à nos patients l'accès à une médecine toujours plus performante.</w:t>
      </w:r>
    </w:p>
    <w:p w14:paraId="2E649293" w14:textId="77777777" w:rsidR="00B03FFF" w:rsidRDefault="00B03FFF" w:rsidP="00B03FFF">
      <w:pPr>
        <w:pStyle w:val="NormalWeb"/>
      </w:pPr>
    </w:p>
    <w:p w14:paraId="6357DB94" w14:textId="77777777" w:rsidR="00B03FFF" w:rsidRPr="00E81055" w:rsidRDefault="00B03FFF">
      <w:pPr>
        <w:pStyle w:val="Corpsdetexte"/>
        <w:rPr>
          <w:lang w:val="fr-BE"/>
        </w:rPr>
      </w:pPr>
    </w:p>
    <w:bookmarkEnd w:id="1"/>
    <w:bookmarkEnd w:id="0"/>
    <w:sectPr w:rsidR="00B03FFF" w:rsidRPr="00E81055">
      <w:footnotePr>
        <w:numRestart w:val="eachSect"/>
      </w:footnotePr>
      <w:pgSz w:w="12240" w:h="15840"/>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F81C158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66A67EF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700428F"/>
    <w:multiLevelType w:val="multilevel"/>
    <w:tmpl w:val="6C440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12654D"/>
    <w:multiLevelType w:val="multilevel"/>
    <w:tmpl w:val="0240B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37A"/>
    <w:rsid w:val="0052737A"/>
    <w:rsid w:val="0067269A"/>
    <w:rsid w:val="007D21A9"/>
    <w:rsid w:val="00877401"/>
    <w:rsid w:val="008E686C"/>
    <w:rsid w:val="0095652B"/>
    <w:rsid w:val="0098207A"/>
    <w:rsid w:val="00B03FFF"/>
    <w:rsid w:val="00B12E9A"/>
    <w:rsid w:val="00B46F7B"/>
    <w:rsid w:val="00D40565"/>
    <w:rsid w:val="00E810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E9367"/>
  <w15:docId w15:val="{CB28CAB5-5225-4F8D-BBE7-5F35EE95F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1" w:uiPriority="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itre1">
    <w:name w:val="heading 1"/>
    <w:basedOn w:val="Normal"/>
    <w:next w:val="Corpsdetexte"/>
    <w:link w:val="Titre1C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Corpsdetexte"/>
    <w:link w:val="Titre2C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Corpsdetexte"/>
    <w:link w:val="Titre3C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Corpsdetexte"/>
    <w:link w:val="Titre4C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Corpsdetexte"/>
    <w:link w:val="Titre5C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Corpsdetexte"/>
    <w:link w:val="Titre6C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Corpsdetexte"/>
    <w:link w:val="Titre7C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Corpsdetexte"/>
    <w:link w:val="Titre8C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Corpsdetexte"/>
    <w:link w:val="Titre9C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qFormat/>
    <w:pPr>
      <w:spacing w:before="180" w:after="180"/>
    </w:pPr>
  </w:style>
  <w:style w:type="paragraph" w:customStyle="1" w:styleId="FirstParagraph">
    <w:name w:val="First Paragraph"/>
    <w:basedOn w:val="Corpsdetexte"/>
    <w:next w:val="Corpsdetexte"/>
    <w:qFormat/>
  </w:style>
  <w:style w:type="paragraph" w:customStyle="1" w:styleId="Compact">
    <w:name w:val="Compact"/>
    <w:basedOn w:val="Corpsdetexte"/>
    <w:qFormat/>
    <w:pPr>
      <w:spacing w:before="36" w:after="36"/>
    </w:pPr>
  </w:style>
  <w:style w:type="paragraph" w:styleId="Titre">
    <w:name w:val="Title"/>
    <w:basedOn w:val="Normal"/>
    <w:next w:val="Corpsdetexte"/>
    <w:link w:val="TitreC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10FD9"/>
    <w:rPr>
      <w:rFonts w:asciiTheme="majorHAnsi" w:eastAsiaTheme="majorEastAsia" w:hAnsiTheme="majorHAnsi" w:cstheme="majorBidi"/>
      <w:spacing w:val="-10"/>
      <w:kern w:val="28"/>
      <w:sz w:val="56"/>
      <w:szCs w:val="56"/>
    </w:rPr>
  </w:style>
  <w:style w:type="paragraph" w:styleId="Sous-titre">
    <w:name w:val="Subtitle"/>
    <w:basedOn w:val="Titre"/>
    <w:next w:val="Corpsdetexte"/>
    <w:link w:val="Sous-titreCar"/>
    <w:uiPriority w:val="11"/>
    <w:qFormat/>
    <w:rsid w:val="00A10FD9"/>
    <w:pPr>
      <w:numPr>
        <w:ilvl w:val="1"/>
      </w:numPr>
    </w:pPr>
    <w:rPr>
      <w:spacing w:val="15"/>
      <w:sz w:val="28"/>
      <w:szCs w:val="28"/>
    </w:rPr>
  </w:style>
  <w:style w:type="character" w:customStyle="1" w:styleId="Sous-titreCar">
    <w:name w:val="Sous-titre Car"/>
    <w:basedOn w:val="Policepardfaut"/>
    <w:link w:val="Sous-titre"/>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sdetexte"/>
    <w:qFormat/>
    <w:pPr>
      <w:keepNext/>
      <w:keepLines/>
      <w:jc w:val="center"/>
    </w:pPr>
  </w:style>
  <w:style w:type="paragraph" w:styleId="Date">
    <w:name w:val="Date"/>
    <w:next w:val="Corpsdetexte"/>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Corpsdetexte"/>
    <w:qFormat/>
    <w:pPr>
      <w:keepNext/>
      <w:keepLines/>
      <w:spacing w:before="100" w:after="300"/>
    </w:pPr>
    <w:rPr>
      <w:sz w:val="20"/>
      <w:szCs w:val="20"/>
    </w:rPr>
  </w:style>
  <w:style w:type="paragraph" w:styleId="Bibliographie">
    <w:name w:val="Bibliography"/>
    <w:basedOn w:val="Normal"/>
    <w:qFormat/>
  </w:style>
  <w:style w:type="character" w:customStyle="1" w:styleId="Titre1Car">
    <w:name w:val="Titre 1 Car"/>
    <w:basedOn w:val="Policepardfaut"/>
    <w:link w:val="Titre1"/>
    <w:uiPriority w:val="9"/>
    <w:rsid w:val="00A10FD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10FD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10FD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10FD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10FD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10FD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10FD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10FD9"/>
    <w:rPr>
      <w:rFonts w:eastAsiaTheme="majorEastAsia" w:cstheme="majorBidi"/>
      <w:color w:val="272727" w:themeColor="text1" w:themeTint="D8"/>
    </w:rPr>
  </w:style>
  <w:style w:type="paragraph" w:styleId="Normalcentr">
    <w:name w:val="Block Text"/>
    <w:basedOn w:val="Corpsdetexte"/>
    <w:next w:val="Corpsdetexte"/>
    <w:uiPriority w:val="9"/>
    <w:unhideWhenUsed/>
    <w:qFormat/>
    <w:pPr>
      <w:spacing w:before="100" w:after="100"/>
      <w:ind w:left="480" w:right="480"/>
    </w:pPr>
  </w:style>
  <w:style w:type="paragraph" w:styleId="Notedebasdepage">
    <w:name w:val="footnote text"/>
    <w:basedOn w:val="Normal"/>
    <w:uiPriority w:val="9"/>
    <w:unhideWhenUsed/>
    <w:qFormat/>
  </w:style>
  <w:style w:type="paragraph" w:customStyle="1" w:styleId="FootnoteBlockText">
    <w:name w:val="Footnote Block Text"/>
    <w:basedOn w:val="Notedebasdepage"/>
    <w:next w:val="Notedebasdepage"/>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gende">
    <w:name w:val="caption"/>
    <w:basedOn w:val="Normal"/>
    <w:link w:val="LgendeCar"/>
    <w:pPr>
      <w:spacing w:after="120"/>
    </w:pPr>
    <w:rPr>
      <w:i/>
    </w:rPr>
  </w:style>
  <w:style w:type="paragraph" w:customStyle="1" w:styleId="TableCaption">
    <w:name w:val="Table Caption"/>
    <w:basedOn w:val="Lgende"/>
    <w:pPr>
      <w:keepNext/>
    </w:pPr>
  </w:style>
  <w:style w:type="paragraph" w:customStyle="1" w:styleId="ImageCaption">
    <w:name w:val="Image Caption"/>
    <w:basedOn w:val="Lgende"/>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gendeCar">
    <w:name w:val="Légende Car"/>
    <w:basedOn w:val="Policepardfaut"/>
    <w:link w:val="Lgende"/>
  </w:style>
  <w:style w:type="character" w:customStyle="1" w:styleId="VerbatimChar">
    <w:name w:val="Verbatim Char"/>
    <w:basedOn w:val="LgendeCar"/>
    <w:link w:val="SourceCode"/>
    <w:rPr>
      <w:rFonts w:ascii="Consolas" w:hAnsi="Consolas"/>
      <w:sz w:val="22"/>
    </w:rPr>
  </w:style>
  <w:style w:type="character" w:customStyle="1" w:styleId="SectionNumber">
    <w:name w:val="Section Number"/>
    <w:basedOn w:val="LgendeCar"/>
  </w:style>
  <w:style w:type="character" w:styleId="Appelnotedebasdep">
    <w:name w:val="footnote reference"/>
    <w:basedOn w:val="LgendeCar"/>
    <w:rPr>
      <w:vertAlign w:val="superscript"/>
    </w:rPr>
  </w:style>
  <w:style w:type="character" w:styleId="Lienhypertexte">
    <w:name w:val="Hyperlink"/>
    <w:basedOn w:val="LgendeCar"/>
    <w:rPr>
      <w:color w:val="156082" w:themeColor="accent1"/>
    </w:rPr>
  </w:style>
  <w:style w:type="paragraph" w:styleId="En-ttedetabledesmatires">
    <w:name w:val="TOC Heading"/>
    <w:basedOn w:val="Titre1"/>
    <w:next w:val="Corpsdetexte"/>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NormalWeb">
    <w:name w:val="Normal (Web)"/>
    <w:basedOn w:val="Normal"/>
    <w:uiPriority w:val="99"/>
    <w:semiHidden/>
    <w:unhideWhenUsed/>
    <w:rsid w:val="007D21A9"/>
    <w:pPr>
      <w:spacing w:before="100" w:beforeAutospacing="1" w:after="100" w:afterAutospacing="1"/>
    </w:pPr>
    <w:rPr>
      <w:rFonts w:ascii="Times New Roman" w:eastAsia="Times New Roman" w:hAnsi="Times New Roman" w:cs="Times New Roman"/>
      <w:lang w:val="fr-BE" w:eastAsia="fr-BE"/>
    </w:rPr>
  </w:style>
  <w:style w:type="character" w:styleId="lev">
    <w:name w:val="Strong"/>
    <w:basedOn w:val="Policepardfaut"/>
    <w:uiPriority w:val="22"/>
    <w:qFormat/>
    <w:rsid w:val="007D21A9"/>
    <w:rPr>
      <w:b/>
      <w:bCs/>
    </w:rPr>
  </w:style>
  <w:style w:type="paragraph" w:customStyle="1" w:styleId="pdq2pgselectionanchorcontainer">
    <w:name w:val="pdq2pg_selectionanchorcontainer"/>
    <w:basedOn w:val="Normal"/>
    <w:rsid w:val="00B03FFF"/>
    <w:pPr>
      <w:spacing w:before="100" w:beforeAutospacing="1" w:after="100" w:afterAutospacing="1"/>
    </w:pPr>
    <w:rPr>
      <w:rFonts w:ascii="Times New Roman" w:eastAsia="Times New Roman" w:hAnsi="Times New Roman" w:cs="Times New Roman"/>
      <w:lang w:val="fr-BE" w:eastAsia="fr-BE"/>
    </w:rPr>
  </w:style>
  <w:style w:type="character" w:styleId="Accentuation">
    <w:name w:val="Emphasis"/>
    <w:basedOn w:val="Policepardfaut"/>
    <w:uiPriority w:val="20"/>
    <w:qFormat/>
    <w:rsid w:val="00B03FFF"/>
    <w:rPr>
      <w:i/>
      <w:iCs/>
    </w:rPr>
  </w:style>
  <w:style w:type="paragraph" w:styleId="Textedebulles">
    <w:name w:val="Balloon Text"/>
    <w:basedOn w:val="Normal"/>
    <w:link w:val="TextedebullesCar"/>
    <w:semiHidden/>
    <w:unhideWhenUsed/>
    <w:rsid w:val="00B03FFF"/>
    <w:pPr>
      <w:spacing w:after="0"/>
    </w:pPr>
    <w:rPr>
      <w:rFonts w:ascii="Segoe UI" w:hAnsi="Segoe UI" w:cs="Segoe UI"/>
      <w:sz w:val="18"/>
      <w:szCs w:val="18"/>
    </w:rPr>
  </w:style>
  <w:style w:type="character" w:customStyle="1" w:styleId="TextedebullesCar">
    <w:name w:val="Texte de bulles Car"/>
    <w:basedOn w:val="Policepardfaut"/>
    <w:link w:val="Textedebulles"/>
    <w:semiHidden/>
    <w:rsid w:val="00B03F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653812">
      <w:bodyDiv w:val="1"/>
      <w:marLeft w:val="0"/>
      <w:marRight w:val="0"/>
      <w:marTop w:val="0"/>
      <w:marBottom w:val="0"/>
      <w:divBdr>
        <w:top w:val="none" w:sz="0" w:space="0" w:color="auto"/>
        <w:left w:val="none" w:sz="0" w:space="0" w:color="auto"/>
        <w:bottom w:val="none" w:sz="0" w:space="0" w:color="auto"/>
        <w:right w:val="none" w:sz="0" w:space="0" w:color="auto"/>
      </w:divBdr>
    </w:div>
    <w:div w:id="651561886">
      <w:bodyDiv w:val="1"/>
      <w:marLeft w:val="0"/>
      <w:marRight w:val="0"/>
      <w:marTop w:val="0"/>
      <w:marBottom w:val="0"/>
      <w:divBdr>
        <w:top w:val="none" w:sz="0" w:space="0" w:color="auto"/>
        <w:left w:val="none" w:sz="0" w:space="0" w:color="auto"/>
        <w:bottom w:val="none" w:sz="0" w:space="0" w:color="auto"/>
        <w:right w:val="none" w:sz="0" w:space="0" w:color="auto"/>
      </w:divBdr>
    </w:div>
    <w:div w:id="725952085">
      <w:bodyDiv w:val="1"/>
      <w:marLeft w:val="0"/>
      <w:marRight w:val="0"/>
      <w:marTop w:val="0"/>
      <w:marBottom w:val="0"/>
      <w:divBdr>
        <w:top w:val="none" w:sz="0" w:space="0" w:color="auto"/>
        <w:left w:val="none" w:sz="0" w:space="0" w:color="auto"/>
        <w:bottom w:val="none" w:sz="0" w:space="0" w:color="auto"/>
        <w:right w:val="none" w:sz="0" w:space="0" w:color="auto"/>
      </w:divBdr>
    </w:div>
    <w:div w:id="1134522435">
      <w:bodyDiv w:val="1"/>
      <w:marLeft w:val="0"/>
      <w:marRight w:val="0"/>
      <w:marTop w:val="0"/>
      <w:marBottom w:val="0"/>
      <w:divBdr>
        <w:top w:val="none" w:sz="0" w:space="0" w:color="auto"/>
        <w:left w:val="none" w:sz="0" w:space="0" w:color="auto"/>
        <w:bottom w:val="none" w:sz="0" w:space="0" w:color="auto"/>
        <w:right w:val="none" w:sz="0" w:space="0" w:color="auto"/>
      </w:divBdr>
    </w:div>
    <w:div w:id="1295715024">
      <w:bodyDiv w:val="1"/>
      <w:marLeft w:val="0"/>
      <w:marRight w:val="0"/>
      <w:marTop w:val="0"/>
      <w:marBottom w:val="0"/>
      <w:divBdr>
        <w:top w:val="none" w:sz="0" w:space="0" w:color="auto"/>
        <w:left w:val="none" w:sz="0" w:space="0" w:color="auto"/>
        <w:bottom w:val="none" w:sz="0" w:space="0" w:color="auto"/>
        <w:right w:val="none" w:sz="0" w:space="0" w:color="auto"/>
      </w:divBdr>
      <w:divsChild>
        <w:div w:id="1639258991">
          <w:blockQuote w:val="1"/>
          <w:marLeft w:val="720"/>
          <w:marRight w:val="720"/>
          <w:marTop w:val="100"/>
          <w:marBottom w:val="100"/>
          <w:divBdr>
            <w:top w:val="none" w:sz="0" w:space="0" w:color="auto"/>
            <w:left w:val="none" w:sz="0" w:space="0" w:color="auto"/>
            <w:bottom w:val="none" w:sz="0" w:space="0" w:color="auto"/>
            <w:right w:val="none" w:sz="0" w:space="0" w:color="auto"/>
          </w:divBdr>
        </w:div>
        <w:div w:id="749763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6902648">
      <w:bodyDiv w:val="1"/>
      <w:marLeft w:val="0"/>
      <w:marRight w:val="0"/>
      <w:marTop w:val="0"/>
      <w:marBottom w:val="0"/>
      <w:divBdr>
        <w:top w:val="none" w:sz="0" w:space="0" w:color="auto"/>
        <w:left w:val="none" w:sz="0" w:space="0" w:color="auto"/>
        <w:bottom w:val="none" w:sz="0" w:space="0" w:color="auto"/>
        <w:right w:val="none" w:sz="0" w:space="0" w:color="auto"/>
      </w:divBdr>
    </w:div>
    <w:div w:id="1464078450">
      <w:bodyDiv w:val="1"/>
      <w:marLeft w:val="0"/>
      <w:marRight w:val="0"/>
      <w:marTop w:val="0"/>
      <w:marBottom w:val="0"/>
      <w:divBdr>
        <w:top w:val="none" w:sz="0" w:space="0" w:color="auto"/>
        <w:left w:val="none" w:sz="0" w:space="0" w:color="auto"/>
        <w:bottom w:val="none" w:sz="0" w:space="0" w:color="auto"/>
        <w:right w:val="none" w:sz="0" w:space="0" w:color="auto"/>
      </w:divBdr>
    </w:div>
    <w:div w:id="1641879846">
      <w:bodyDiv w:val="1"/>
      <w:marLeft w:val="0"/>
      <w:marRight w:val="0"/>
      <w:marTop w:val="0"/>
      <w:marBottom w:val="0"/>
      <w:divBdr>
        <w:top w:val="none" w:sz="0" w:space="0" w:color="auto"/>
        <w:left w:val="none" w:sz="0" w:space="0" w:color="auto"/>
        <w:bottom w:val="none" w:sz="0" w:space="0" w:color="auto"/>
        <w:right w:val="none" w:sz="0" w:space="0" w:color="auto"/>
      </w:divBdr>
    </w:div>
    <w:div w:id="17592504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F6401E42F6B7740971792FCBC4E2F9E" ma:contentTypeVersion="3" ma:contentTypeDescription="Crée un document." ma:contentTypeScope="" ma:versionID="48254ce82373762eeb14498b2bbe1a69">
  <xsd:schema xmlns:xsd="http://www.w3.org/2001/XMLSchema" xmlns:xs="http://www.w3.org/2001/XMLSchema" xmlns:p="http://schemas.microsoft.com/office/2006/metadata/properties" xmlns:ns2="23706c33-2c19-4bb6-aa1d-f49300c8fcfd" targetNamespace="http://schemas.microsoft.com/office/2006/metadata/properties" ma:root="true" ma:fieldsID="dbaae18845c88a91c52e8188c92ecaa2" ns2:_="">
    <xsd:import namespace="23706c33-2c19-4bb6-aa1d-f49300c8fcf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06c33-2c19-4bb6-aa1d-f49300c8fc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F9767E-05AE-4314-A804-C35DFAF26867}">
  <ds:schemaRefs>
    <ds:schemaRef ds:uri="http://schemas.openxmlformats.org/officeDocument/2006/bibliography"/>
  </ds:schemaRefs>
</ds:datastoreItem>
</file>

<file path=customXml/itemProps2.xml><?xml version="1.0" encoding="utf-8"?>
<ds:datastoreItem xmlns:ds="http://schemas.openxmlformats.org/officeDocument/2006/customXml" ds:itemID="{35CB060F-7191-4AAC-AD21-281F7822D009}"/>
</file>

<file path=customXml/itemProps3.xml><?xml version="1.0" encoding="utf-8"?>
<ds:datastoreItem xmlns:ds="http://schemas.openxmlformats.org/officeDocument/2006/customXml" ds:itemID="{989E5AB7-2DFC-437F-A117-236136DC4F23}"/>
</file>

<file path=customXml/itemProps4.xml><?xml version="1.0" encoding="utf-8"?>
<ds:datastoreItem xmlns:ds="http://schemas.openxmlformats.org/officeDocument/2006/customXml" ds:itemID="{9E8796DD-8D71-4AFB-93B8-F533264F7DCA}"/>
</file>

<file path=docProps/app.xml><?xml version="1.0" encoding="utf-8"?>
<Properties xmlns="http://schemas.openxmlformats.org/officeDocument/2006/extended-properties" xmlns:vt="http://schemas.openxmlformats.org/officeDocument/2006/docPropsVTypes">
  <Template>Normal</Template>
  <TotalTime>0</TotalTime>
  <Pages>5</Pages>
  <Words>1737</Words>
  <Characters>9555</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Chu-Brugmann</Company>
  <LinksUpToDate>false</LinksUpToDate>
  <CharactersWithSpaces>11270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GOFFIN, Laurence (Huderf)</dc:creator>
  <cp:keywords/>
  <cp:lastModifiedBy>BASCOUR, Isaline</cp:lastModifiedBy>
  <cp:revision>2</cp:revision>
  <cp:lastPrinted>2026-07-27T11:10:00Z</cp:lastPrinted>
  <dcterms:created xsi:type="dcterms:W3CDTF">2026-08-12T08:19:00Z</dcterms:created>
  <dcterms:modified xsi:type="dcterms:W3CDTF">2026-08-12T08:19:00Z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0x010100BF6401E42F6B7740971792FCBC4E2F9E</vt:lpwstr>
  </property>
</Properties>
</file>